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F38BB">
      <w:pPr>
        <w:spacing w:line="400" w:lineRule="exact"/>
        <w:rPr>
          <w:rFonts w:hint="eastAsia" w:ascii="黑体" w:hAnsi="黑体" w:eastAsia="黑体"/>
          <w:bCs/>
          <w:szCs w:val="21"/>
          <w:lang w:val="en-US" w:eastAsia="zh-CN"/>
        </w:rPr>
      </w:pPr>
      <w:r>
        <w:rPr>
          <w:rFonts w:hint="eastAsia" w:ascii="黑体" w:hAnsi="黑体" w:eastAsia="黑体"/>
          <w:bCs/>
          <w:szCs w:val="21"/>
        </w:rPr>
        <w:t>附件</w:t>
      </w:r>
    </w:p>
    <w:p w14:paraId="2D8E99E2">
      <w:pPr>
        <w:spacing w:before="217" w:beforeLines="50" w:after="217" w:afterLines="50" w:line="400" w:lineRule="exact"/>
        <w:jc w:val="center"/>
        <w:rPr>
          <w:rFonts w:hint="eastAsia" w:ascii="华文中宋" w:hAnsi="华文中宋" w:eastAsia="华文中宋" w:cs="华文中宋"/>
          <w:bCs/>
          <w:sz w:val="36"/>
          <w:szCs w:val="21"/>
          <w:lang w:eastAsia="zh-CN"/>
        </w:rPr>
      </w:pPr>
      <w:r>
        <w:rPr>
          <w:rFonts w:hint="eastAsia" w:ascii="华文中宋" w:hAnsi="华文中宋" w:eastAsia="华文中宋" w:cs="华文中宋"/>
          <w:b/>
          <w:bCs w:val="0"/>
          <w:sz w:val="36"/>
          <w:szCs w:val="21"/>
        </w:rPr>
        <w:t>202</w:t>
      </w:r>
      <w:r>
        <w:rPr>
          <w:rFonts w:hint="eastAsia" w:ascii="华文中宋" w:hAnsi="华文中宋" w:eastAsia="华文中宋" w:cs="华文中宋"/>
          <w:b/>
          <w:bCs w:val="0"/>
          <w:sz w:val="36"/>
          <w:szCs w:val="21"/>
          <w:lang w:val="en-US" w:eastAsia="zh-CN"/>
        </w:rPr>
        <w:t>6</w:t>
      </w:r>
      <w:r>
        <w:rPr>
          <w:rFonts w:hint="eastAsia" w:ascii="华文中宋" w:hAnsi="华文中宋" w:eastAsia="华文中宋" w:cs="华文中宋"/>
          <w:b/>
          <w:bCs w:val="0"/>
          <w:sz w:val="36"/>
          <w:szCs w:val="21"/>
        </w:rPr>
        <w:t>年度湖北省科学技术进步奖公示信息</w:t>
      </w:r>
      <w:r>
        <w:rPr>
          <w:rFonts w:hint="eastAsia" w:ascii="华文中宋" w:hAnsi="华文中宋" w:eastAsia="华文中宋" w:cs="华文中宋"/>
          <w:b/>
          <w:bCs w:val="0"/>
          <w:sz w:val="24"/>
          <w:szCs w:val="24"/>
          <w:lang w:eastAsia="zh-CN"/>
        </w:rPr>
        <w:t>（</w:t>
      </w:r>
      <w:r>
        <w:rPr>
          <w:rFonts w:hint="eastAsia" w:ascii="华文中宋" w:hAnsi="华文中宋" w:eastAsia="华文中宋" w:cs="华文中宋"/>
          <w:b/>
          <w:bCs w:val="0"/>
          <w:sz w:val="24"/>
          <w:szCs w:val="24"/>
          <w:lang w:val="en-US" w:eastAsia="zh-CN"/>
        </w:rPr>
        <w:t>候选人二级单位/完成单位/工作单位</w:t>
      </w:r>
      <w:r>
        <w:rPr>
          <w:rFonts w:hint="eastAsia" w:ascii="华文中宋" w:hAnsi="华文中宋" w:eastAsia="华文中宋" w:cs="华文中宋"/>
          <w:b/>
          <w:bCs w:val="0"/>
          <w:sz w:val="24"/>
          <w:szCs w:val="24"/>
          <w:lang w:eastAsia="zh-CN"/>
        </w:rPr>
        <w:t>）</w:t>
      </w:r>
    </w:p>
    <w:tbl>
      <w:tblPr>
        <w:tblStyle w:val="9"/>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330"/>
        <w:gridCol w:w="50"/>
        <w:gridCol w:w="1980"/>
        <w:gridCol w:w="810"/>
        <w:gridCol w:w="1095"/>
        <w:gridCol w:w="1485"/>
        <w:gridCol w:w="1800"/>
        <w:gridCol w:w="1538"/>
        <w:gridCol w:w="1325"/>
        <w:gridCol w:w="1483"/>
      </w:tblGrid>
      <w:tr w14:paraId="780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27F6D9A9">
            <w:pPr>
              <w:spacing w:line="360" w:lineRule="exact"/>
              <w:jc w:val="center"/>
              <w:rPr>
                <w:rFonts w:hint="eastAsia" w:ascii="黑体" w:hAnsi="黑体" w:eastAsia="黑体" w:cs="黑体"/>
                <w:sz w:val="22"/>
              </w:rPr>
            </w:pPr>
            <w:r>
              <w:rPr>
                <w:rFonts w:hint="eastAsia" w:ascii="黑体" w:hAnsi="黑体" w:eastAsia="黑体" w:cs="黑体"/>
                <w:sz w:val="22"/>
              </w:rPr>
              <w:t>项目名称</w:t>
            </w:r>
          </w:p>
        </w:tc>
        <w:tc>
          <w:tcPr>
            <w:tcW w:w="11566" w:type="dxa"/>
            <w:gridSpan w:val="9"/>
            <w:vAlign w:val="center"/>
          </w:tcPr>
          <w:p w14:paraId="17EF223E">
            <w:pPr>
              <w:spacing w:line="360" w:lineRule="exact"/>
              <w:jc w:val="center"/>
              <w:rPr>
                <w:rFonts w:hint="eastAsia" w:asciiTheme="minorEastAsia" w:hAnsiTheme="minorEastAsia" w:eastAsiaTheme="minorEastAsia" w:cstheme="minorEastAsia"/>
                <w:sz w:val="22"/>
              </w:rPr>
            </w:pPr>
            <w:bookmarkStart w:id="0" w:name="_GoBack"/>
            <w:r>
              <w:rPr>
                <w:rFonts w:hint="eastAsia" w:asciiTheme="minorEastAsia" w:hAnsiTheme="minorEastAsia" w:eastAsiaTheme="minorEastAsia" w:cstheme="minorEastAsia"/>
                <w:sz w:val="22"/>
                <w:lang w:val="en-US" w:eastAsia="zh-CN"/>
              </w:rPr>
              <w:t>不良妊娠结局智能防控关键技术和诊疗体系创新研发</w:t>
            </w:r>
            <w:bookmarkEnd w:id="0"/>
          </w:p>
        </w:tc>
      </w:tr>
      <w:tr w14:paraId="7D4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12E8D756">
            <w:pPr>
              <w:spacing w:line="240" w:lineRule="exact"/>
              <w:jc w:val="center"/>
              <w:rPr>
                <w:rFonts w:hint="eastAsia" w:ascii="黑体" w:hAnsi="黑体" w:eastAsia="黑体" w:cs="黑体"/>
                <w:sz w:val="22"/>
              </w:rPr>
            </w:pPr>
            <w:r>
              <w:rPr>
                <w:rFonts w:hint="eastAsia" w:ascii="黑体" w:hAnsi="黑体" w:eastAsia="黑体" w:cs="黑体"/>
                <w:sz w:val="22"/>
                <w:szCs w:val="22"/>
              </w:rPr>
              <w:t>提名</w:t>
            </w:r>
            <w:r>
              <w:rPr>
                <w:rFonts w:hint="eastAsia" w:ascii="黑体" w:hAnsi="黑体" w:eastAsia="黑体" w:cs="黑体"/>
                <w:sz w:val="22"/>
                <w:szCs w:val="22"/>
                <w:lang w:val="en-US" w:eastAsia="zh-CN"/>
              </w:rPr>
              <w:t>者</w:t>
            </w:r>
          </w:p>
        </w:tc>
        <w:tc>
          <w:tcPr>
            <w:tcW w:w="11566" w:type="dxa"/>
            <w:gridSpan w:val="9"/>
            <w:vAlign w:val="center"/>
          </w:tcPr>
          <w:p w14:paraId="7F619CF4">
            <w:pPr>
              <w:spacing w:line="360" w:lineRule="exact"/>
              <w:jc w:val="center"/>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武汉大学</w:t>
            </w:r>
          </w:p>
        </w:tc>
      </w:tr>
      <w:tr w14:paraId="1ED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2040" w:type="dxa"/>
            <w:gridSpan w:val="2"/>
            <w:vAlign w:val="center"/>
          </w:tcPr>
          <w:p w14:paraId="1E182387">
            <w:pPr>
              <w:spacing w:line="240" w:lineRule="exact"/>
              <w:jc w:val="center"/>
              <w:rPr>
                <w:rFonts w:hint="eastAsia" w:ascii="黑体" w:hAnsi="黑体" w:eastAsia="黑体" w:cs="黑体"/>
                <w:sz w:val="22"/>
              </w:rPr>
            </w:pPr>
            <w:r>
              <w:rPr>
                <w:rFonts w:hint="eastAsia" w:ascii="黑体" w:hAnsi="黑体" w:eastAsia="黑体" w:cs="黑体"/>
                <w:sz w:val="22"/>
                <w:szCs w:val="22"/>
              </w:rPr>
              <w:t>提名意见</w:t>
            </w:r>
          </w:p>
        </w:tc>
        <w:tc>
          <w:tcPr>
            <w:tcW w:w="11566" w:type="dxa"/>
            <w:gridSpan w:val="9"/>
            <w:vAlign w:val="center"/>
          </w:tcPr>
          <w:p w14:paraId="2C8DEA1C">
            <w:pPr>
              <w:keepNext w:val="0"/>
              <w:keepLines w:val="0"/>
              <w:pageBreakBefore w:val="0"/>
              <w:widowControl/>
              <w:kinsoku/>
              <w:wordWrap/>
              <w:overflowPunct/>
              <w:topLinePunct w:val="0"/>
              <w:autoSpaceDE/>
              <w:autoSpaceDN/>
              <w:bidi w:val="0"/>
              <w:adjustRightInd/>
              <w:snapToGrid/>
              <w:spacing w:line="360" w:lineRule="exact"/>
              <w:ind w:firstLine="440" w:firstLineChars="200"/>
              <w:jc w:val="both"/>
              <w:textAlignment w:val="auto"/>
              <w:rPr>
                <w:rFonts w:hint="eastAsia" w:ascii="黑体" w:hAnsi="黑体" w:eastAsia="黑体" w:cs="黑体"/>
                <w:sz w:val="22"/>
              </w:rPr>
            </w:pPr>
          </w:p>
          <w:p w14:paraId="24761182">
            <w:pPr>
              <w:keepNext w:val="0"/>
              <w:keepLines w:val="0"/>
              <w:pageBreakBefore w:val="0"/>
              <w:widowControl/>
              <w:kinsoku/>
              <w:wordWrap/>
              <w:overflowPunct/>
              <w:topLinePunct w:val="0"/>
              <w:autoSpaceDE/>
              <w:autoSpaceDN/>
              <w:bidi w:val="0"/>
              <w:adjustRightInd/>
              <w:snapToGrid/>
              <w:spacing w:line="360" w:lineRule="exact"/>
              <w:ind w:firstLine="440" w:firstLineChars="200"/>
              <w:jc w:val="both"/>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该项目紧密围绕国家出生缺陷防治和妇幼健康保障重大需求，聚焦重大妊娠并发症及出生缺陷防控中的关键科学问题和临床实际难题，立足</w:t>
            </w:r>
            <w:r>
              <w:rPr>
                <w:rFonts w:hint="eastAsia" w:asciiTheme="minorEastAsia" w:hAnsiTheme="minorEastAsia" w:eastAsiaTheme="minorEastAsia" w:cstheme="minorEastAsia"/>
                <w:sz w:val="22"/>
                <w:lang w:val="en-US" w:eastAsia="zh-CN"/>
              </w:rPr>
              <w:t>国家</w:t>
            </w:r>
            <w:r>
              <w:rPr>
                <w:rFonts w:hint="eastAsia" w:asciiTheme="minorEastAsia" w:hAnsiTheme="minorEastAsia" w:eastAsiaTheme="minorEastAsia" w:cstheme="minorEastAsia"/>
                <w:sz w:val="22"/>
              </w:rPr>
              <w:t>妇幼健康事业发展实际，持续开展系统性、协同性科技攻关，取得了一系列具有原创性、系统性和推广价值的重要成果。项目在围产期健康与出生缺陷防控领域，创新构建了覆盖孕前、孕期、产前及新生儿阶段的全周期精准防控体系，形成了集机制研究、技术研发、平台建设和推广应用于一体的整体解决方案，推动相关防治模式由被动诊治向主动预防、由单点干预向全程管理转变。</w:t>
            </w:r>
          </w:p>
          <w:p w14:paraId="514FFA91">
            <w:pPr>
              <w:keepNext w:val="0"/>
              <w:keepLines w:val="0"/>
              <w:pageBreakBefore w:val="0"/>
              <w:widowControl/>
              <w:kinsoku/>
              <w:wordWrap/>
              <w:overflowPunct/>
              <w:topLinePunct w:val="0"/>
              <w:autoSpaceDE/>
              <w:autoSpaceDN/>
              <w:bidi w:val="0"/>
              <w:adjustRightInd/>
              <w:snapToGrid/>
              <w:spacing w:line="360" w:lineRule="exact"/>
              <w:ind w:firstLine="440" w:firstLineChars="200"/>
              <w:jc w:val="both"/>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项目围绕临床防控关键环节，自主研发了一批具有自主知识产权的核心技术、配套工具和智能化系统，突破了多项制约出生缺陷防治和妊娠并发症早期识别的技术瓶颈，显著提升了精准筛查、风险预警、分层管理和早期干预能力。与此同时，项目进一步创新区域妇幼健康服务模式，建立了可复制、可推广的数字化、网络化、协同化防控路径，为促进优质医疗资源下沉、提升基层妇幼健康服务能力提供了有力科技支撑。</w:t>
            </w:r>
          </w:p>
          <w:p w14:paraId="622CB677">
            <w:pPr>
              <w:keepNext w:val="0"/>
              <w:keepLines w:val="0"/>
              <w:pageBreakBefore w:val="0"/>
              <w:widowControl/>
              <w:kinsoku/>
              <w:wordWrap/>
              <w:overflowPunct/>
              <w:topLinePunct w:val="0"/>
              <w:autoSpaceDE/>
              <w:autoSpaceDN/>
              <w:bidi w:val="0"/>
              <w:adjustRightInd/>
              <w:snapToGrid/>
              <w:spacing w:line="360" w:lineRule="exact"/>
              <w:ind w:firstLine="440" w:firstLineChars="200"/>
              <w:jc w:val="both"/>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该项目科学问题凝练准确，创新链条完整，成果体系系统，兼具重要科学价值、显著社会价值和突出的应用价值。相关成果丰富了生殖医学、围产医学和出生缺陷防控领域的理论与技术体系，推动了多学科交叉融合和相关学科发展，对提升出生人口素质、保障妇女儿童健康、服务健康中国建设具有重要意义。经审阅，项目整体达到国内领先水平，提名申报湖北省科学技术进步奖。</w:t>
            </w:r>
          </w:p>
          <w:p w14:paraId="5DFBA840">
            <w:pPr>
              <w:keepNext w:val="0"/>
              <w:keepLines w:val="0"/>
              <w:pageBreakBefore w:val="0"/>
              <w:widowControl/>
              <w:kinsoku/>
              <w:wordWrap/>
              <w:overflowPunct/>
              <w:topLinePunct w:val="0"/>
              <w:autoSpaceDE/>
              <w:autoSpaceDN/>
              <w:bidi w:val="0"/>
              <w:adjustRightInd/>
              <w:snapToGrid/>
              <w:spacing w:line="360" w:lineRule="exact"/>
              <w:ind w:firstLine="440" w:firstLineChars="200"/>
              <w:jc w:val="both"/>
              <w:textAlignment w:val="auto"/>
              <w:rPr>
                <w:rFonts w:hint="eastAsia" w:ascii="黑体" w:hAnsi="黑体" w:eastAsia="黑体" w:cs="黑体"/>
                <w:sz w:val="22"/>
              </w:rPr>
            </w:pPr>
          </w:p>
          <w:p w14:paraId="0964F691">
            <w:pPr>
              <w:keepNext w:val="0"/>
              <w:keepLines w:val="0"/>
              <w:pageBreakBefore w:val="0"/>
              <w:widowControl/>
              <w:kinsoku/>
              <w:wordWrap/>
              <w:overflowPunct/>
              <w:topLinePunct w:val="0"/>
              <w:autoSpaceDE/>
              <w:autoSpaceDN/>
              <w:bidi w:val="0"/>
              <w:adjustRightInd/>
              <w:snapToGrid/>
              <w:spacing w:line="360" w:lineRule="exact"/>
              <w:ind w:firstLine="440" w:firstLineChars="200"/>
              <w:jc w:val="both"/>
              <w:textAlignment w:val="auto"/>
              <w:rPr>
                <w:rFonts w:hint="eastAsia" w:ascii="黑体" w:hAnsi="黑体" w:eastAsia="黑体" w:cs="黑体"/>
                <w:sz w:val="22"/>
              </w:rPr>
            </w:pPr>
          </w:p>
        </w:tc>
      </w:tr>
      <w:tr w14:paraId="09C4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30770389">
            <w:pPr>
              <w:spacing w:line="360" w:lineRule="exact"/>
              <w:jc w:val="center"/>
              <w:rPr>
                <w:rFonts w:hint="eastAsia" w:ascii="黑体" w:hAnsi="黑体" w:eastAsia="黑体" w:cs="黑体"/>
                <w:sz w:val="22"/>
              </w:rPr>
            </w:pPr>
            <w:r>
              <w:rPr>
                <w:rFonts w:hint="eastAsia" w:ascii="黑体" w:hAnsi="黑体" w:eastAsia="黑体" w:cs="黑体"/>
                <w:sz w:val="22"/>
              </w:rPr>
              <w:t>主要完成人</w:t>
            </w:r>
          </w:p>
        </w:tc>
        <w:tc>
          <w:tcPr>
            <w:tcW w:w="11566" w:type="dxa"/>
            <w:gridSpan w:val="9"/>
          </w:tcPr>
          <w:p w14:paraId="101015DC">
            <w:pPr>
              <w:spacing w:line="360" w:lineRule="exact"/>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lang w:val="en-US" w:eastAsia="zh-CN"/>
              </w:rPr>
              <w:t>张艳、丁桂凤、陆春城、石中华、云新、代芳芳、薛淑媛、张玢、邓志敏、彭松林</w:t>
            </w:r>
          </w:p>
        </w:tc>
      </w:tr>
      <w:tr w14:paraId="7AD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46281654">
            <w:pPr>
              <w:spacing w:line="360" w:lineRule="exact"/>
              <w:jc w:val="center"/>
              <w:rPr>
                <w:rFonts w:hint="eastAsia" w:ascii="黑体" w:hAnsi="黑体" w:eastAsia="黑体" w:cs="黑体"/>
                <w:sz w:val="22"/>
              </w:rPr>
            </w:pPr>
            <w:r>
              <w:rPr>
                <w:rFonts w:hint="eastAsia" w:ascii="黑体" w:hAnsi="黑体" w:eastAsia="黑体" w:cs="黑体"/>
                <w:sz w:val="22"/>
              </w:rPr>
              <w:t>主要完成单位</w:t>
            </w:r>
          </w:p>
        </w:tc>
        <w:tc>
          <w:tcPr>
            <w:tcW w:w="11566" w:type="dxa"/>
            <w:gridSpan w:val="9"/>
          </w:tcPr>
          <w:p w14:paraId="6865CEF6">
            <w:pPr>
              <w:spacing w:line="360" w:lineRule="exact"/>
              <w:jc w:val="center"/>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武汉大学、乌鲁木齐市妇幼保健院、南京医科大学、常州市妇幼保健院、武汉互创联合科技有限公司</w:t>
            </w:r>
          </w:p>
        </w:tc>
      </w:tr>
      <w:tr w14:paraId="15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1"/>
            <w:vAlign w:val="center"/>
          </w:tcPr>
          <w:p w14:paraId="214CC3A4">
            <w:pPr>
              <w:spacing w:line="400" w:lineRule="exact"/>
              <w:jc w:val="center"/>
              <w:rPr>
                <w:rFonts w:hint="eastAsia" w:ascii="黑体" w:hAnsi="黑体" w:eastAsia="黑体" w:cs="黑体"/>
                <w:sz w:val="24"/>
                <w:szCs w:val="24"/>
              </w:rPr>
            </w:pPr>
            <w:r>
              <w:rPr>
                <w:rFonts w:hint="eastAsia" w:ascii="黑体" w:hAnsi="黑体" w:eastAsia="黑体" w:cs="黑体"/>
                <w:sz w:val="22"/>
              </w:rPr>
              <w:t>主要知识产权和标准规范等目录</w:t>
            </w:r>
          </w:p>
        </w:tc>
      </w:tr>
      <w:tr w14:paraId="3D03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54E6D62E">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380" w:type="dxa"/>
            <w:gridSpan w:val="2"/>
            <w:vAlign w:val="center"/>
          </w:tcPr>
          <w:p w14:paraId="122D90C1">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知识产权（标准）类别</w:t>
            </w:r>
          </w:p>
        </w:tc>
        <w:tc>
          <w:tcPr>
            <w:tcW w:w="1980" w:type="dxa"/>
            <w:vAlign w:val="center"/>
          </w:tcPr>
          <w:p w14:paraId="2AE541A6">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知识产权（标准）</w:t>
            </w:r>
          </w:p>
          <w:p w14:paraId="410327E6">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具体名称</w:t>
            </w:r>
          </w:p>
        </w:tc>
        <w:tc>
          <w:tcPr>
            <w:tcW w:w="810" w:type="dxa"/>
            <w:vAlign w:val="center"/>
          </w:tcPr>
          <w:p w14:paraId="39D376F5">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国家</w:t>
            </w:r>
          </w:p>
          <w:p w14:paraId="53A3F9EE">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（地区）</w:t>
            </w:r>
          </w:p>
        </w:tc>
        <w:tc>
          <w:tcPr>
            <w:tcW w:w="1095" w:type="dxa"/>
            <w:vAlign w:val="center"/>
          </w:tcPr>
          <w:p w14:paraId="7351576E">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授权号</w:t>
            </w:r>
          </w:p>
          <w:p w14:paraId="208159C4">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（标准编号）</w:t>
            </w:r>
          </w:p>
        </w:tc>
        <w:tc>
          <w:tcPr>
            <w:tcW w:w="1485" w:type="dxa"/>
            <w:vAlign w:val="center"/>
          </w:tcPr>
          <w:p w14:paraId="299AC24A">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授权（标准</w:t>
            </w:r>
            <w:r>
              <w:rPr>
                <w:rFonts w:hint="eastAsia" w:ascii="黑体" w:hAnsi="黑体" w:eastAsia="黑体" w:cs="黑体"/>
                <w:sz w:val="18"/>
                <w:szCs w:val="18"/>
                <w:lang w:val="en-US" w:eastAsia="zh-CN"/>
              </w:rPr>
              <w:t>实施</w:t>
            </w:r>
            <w:r>
              <w:rPr>
                <w:rFonts w:hint="eastAsia" w:ascii="黑体" w:hAnsi="黑体" w:eastAsia="黑体" w:cs="黑体"/>
                <w:sz w:val="18"/>
                <w:szCs w:val="18"/>
              </w:rPr>
              <w:t>）</w:t>
            </w:r>
          </w:p>
          <w:p w14:paraId="1EC4F007">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日期</w:t>
            </w:r>
          </w:p>
        </w:tc>
        <w:tc>
          <w:tcPr>
            <w:tcW w:w="1800" w:type="dxa"/>
            <w:vAlign w:val="center"/>
          </w:tcPr>
          <w:p w14:paraId="780E381A">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证书编号</w:t>
            </w:r>
          </w:p>
          <w:p w14:paraId="7D9E25E1">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（标准批准发布部门）</w:t>
            </w:r>
          </w:p>
        </w:tc>
        <w:tc>
          <w:tcPr>
            <w:tcW w:w="1538" w:type="dxa"/>
            <w:vAlign w:val="center"/>
          </w:tcPr>
          <w:p w14:paraId="10FB9403">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权利人</w:t>
            </w:r>
          </w:p>
          <w:p w14:paraId="7FA0E8C0">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（标准起草单位）</w:t>
            </w:r>
          </w:p>
        </w:tc>
        <w:tc>
          <w:tcPr>
            <w:tcW w:w="1325" w:type="dxa"/>
            <w:vAlign w:val="center"/>
          </w:tcPr>
          <w:p w14:paraId="5BBDE7CD">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发明人</w:t>
            </w:r>
          </w:p>
          <w:p w14:paraId="0EAB2B7F">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（标准起草人）</w:t>
            </w:r>
          </w:p>
        </w:tc>
        <w:tc>
          <w:tcPr>
            <w:tcW w:w="1483" w:type="dxa"/>
            <w:vAlign w:val="center"/>
          </w:tcPr>
          <w:p w14:paraId="212A2DFF">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发明专利（标准）有效状态</w:t>
            </w:r>
          </w:p>
        </w:tc>
      </w:tr>
      <w:tr w14:paraId="399A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45129D7E">
            <w:pPr>
              <w:spacing w:line="240" w:lineRule="exact"/>
              <w:jc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1</w:t>
            </w:r>
          </w:p>
        </w:tc>
        <w:tc>
          <w:tcPr>
            <w:tcW w:w="1380" w:type="dxa"/>
            <w:gridSpan w:val="2"/>
            <w:shd w:val="clear" w:color="auto" w:fill="auto"/>
            <w:vAlign w:val="center"/>
          </w:tcPr>
          <w:p w14:paraId="3EC43F6B">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论文</w:t>
            </w:r>
          </w:p>
        </w:tc>
        <w:tc>
          <w:tcPr>
            <w:tcW w:w="1980" w:type="dxa"/>
            <w:shd w:val="clear" w:color="auto" w:fill="auto"/>
            <w:vAlign w:val="center"/>
          </w:tcPr>
          <w:p w14:paraId="7FB75421">
            <w:pPr>
              <w:spacing w:line="24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Social determinants of health and female reproductive health: risk score development and cross-national study based on multi-national analysis</w:t>
            </w:r>
          </w:p>
        </w:tc>
        <w:tc>
          <w:tcPr>
            <w:tcW w:w="810" w:type="dxa"/>
            <w:shd w:val="clear" w:color="auto" w:fill="auto"/>
            <w:vAlign w:val="center"/>
          </w:tcPr>
          <w:p w14:paraId="571A2243">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5AF190F2">
            <w:pPr>
              <w:spacing w:line="24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Journal</w:t>
            </w:r>
            <w:r>
              <w:rPr>
                <w:rFonts w:hint="default" w:ascii="Times New Roman" w:hAnsi="Times New Roman" w:cs="Times New Roman" w:eastAsiaTheme="minorEastAsia"/>
                <w:sz w:val="18"/>
                <w:szCs w:val="18"/>
                <w:lang w:val="en-US" w:eastAsia="zh-CN"/>
              </w:rPr>
              <w:t xml:space="preserve"> </w:t>
            </w:r>
            <w:r>
              <w:rPr>
                <w:rFonts w:hint="default" w:ascii="Times New Roman" w:hAnsi="Times New Roman" w:cs="Times New Roman" w:eastAsiaTheme="minorEastAsia"/>
                <w:sz w:val="18"/>
                <w:szCs w:val="18"/>
              </w:rPr>
              <w:t>of</w:t>
            </w:r>
            <w:r>
              <w:rPr>
                <w:rFonts w:hint="default" w:ascii="Times New Roman" w:hAnsi="Times New Roman" w:cs="Times New Roman" w:eastAsiaTheme="minorEastAsia"/>
                <w:sz w:val="18"/>
                <w:szCs w:val="18"/>
                <w:lang w:val="en-US" w:eastAsia="zh-CN"/>
              </w:rPr>
              <w:t xml:space="preserve"> </w:t>
            </w:r>
            <w:r>
              <w:rPr>
                <w:rFonts w:hint="default" w:ascii="Times New Roman" w:hAnsi="Times New Roman" w:cs="Times New Roman" w:eastAsiaTheme="minorEastAsia"/>
                <w:sz w:val="18"/>
                <w:szCs w:val="18"/>
              </w:rPr>
              <w:t>Advanced</w:t>
            </w:r>
            <w:r>
              <w:rPr>
                <w:rFonts w:hint="default" w:ascii="Times New Roman" w:hAnsi="Times New Roman" w:cs="Times New Roman" w:eastAsiaTheme="minorEastAsia"/>
                <w:sz w:val="18"/>
                <w:szCs w:val="18"/>
                <w:lang w:val="en-US" w:eastAsia="zh-CN"/>
              </w:rPr>
              <w:t xml:space="preserve"> </w:t>
            </w:r>
            <w:r>
              <w:rPr>
                <w:rFonts w:hint="default" w:ascii="Times New Roman" w:hAnsi="Times New Roman" w:cs="Times New Roman" w:eastAsiaTheme="minorEastAsia"/>
                <w:sz w:val="18"/>
                <w:szCs w:val="18"/>
              </w:rPr>
              <w:t>Research</w:t>
            </w:r>
          </w:p>
        </w:tc>
        <w:tc>
          <w:tcPr>
            <w:tcW w:w="1485" w:type="dxa"/>
            <w:shd w:val="clear" w:color="auto" w:fill="auto"/>
            <w:vAlign w:val="center"/>
          </w:tcPr>
          <w:p w14:paraId="11164ACD">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202</w:t>
            </w:r>
            <w:r>
              <w:rPr>
                <w:rFonts w:hint="default" w:ascii="Times New Roman" w:hAnsi="Times New Roman" w:cs="Times New Roman" w:eastAsiaTheme="minorEastAsia"/>
                <w:sz w:val="18"/>
                <w:szCs w:val="18"/>
                <w:lang w:val="en-US" w:eastAsia="zh-CN"/>
              </w:rPr>
              <w:t>6</w:t>
            </w:r>
            <w:r>
              <w:rPr>
                <w:rFonts w:hint="default" w:ascii="Times New Roman" w:hAnsi="Times New Roman" w:cs="Times New Roman" w:eastAsiaTheme="minorEastAsia"/>
                <w:sz w:val="18"/>
                <w:szCs w:val="18"/>
              </w:rPr>
              <w:t>-03-</w:t>
            </w:r>
            <w:r>
              <w:rPr>
                <w:rFonts w:hint="default" w:ascii="Times New Roman" w:hAnsi="Times New Roman" w:cs="Times New Roman" w:eastAsiaTheme="minorEastAsia"/>
                <w:sz w:val="18"/>
                <w:szCs w:val="18"/>
                <w:lang w:val="en-US" w:eastAsia="zh-CN"/>
              </w:rPr>
              <w:t>19</w:t>
            </w:r>
          </w:p>
        </w:tc>
        <w:tc>
          <w:tcPr>
            <w:tcW w:w="1800" w:type="dxa"/>
            <w:shd w:val="clear" w:color="auto" w:fill="auto"/>
            <w:vAlign w:val="center"/>
          </w:tcPr>
          <w:p w14:paraId="06D2C502">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ISSN: 2090-1232</w:t>
            </w:r>
          </w:p>
        </w:tc>
        <w:tc>
          <w:tcPr>
            <w:tcW w:w="1538" w:type="dxa"/>
            <w:shd w:val="clear" w:color="auto" w:fill="auto"/>
            <w:vAlign w:val="center"/>
          </w:tcPr>
          <w:p w14:paraId="275E21FC">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武汉大学</w:t>
            </w:r>
          </w:p>
        </w:tc>
        <w:tc>
          <w:tcPr>
            <w:tcW w:w="1325" w:type="dxa"/>
            <w:shd w:val="clear" w:color="auto" w:fill="auto"/>
            <w:vAlign w:val="center"/>
          </w:tcPr>
          <w:p w14:paraId="0F95447A">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张艳</w:t>
            </w:r>
          </w:p>
        </w:tc>
        <w:tc>
          <w:tcPr>
            <w:tcW w:w="1483" w:type="dxa"/>
            <w:shd w:val="clear" w:color="auto" w:fill="auto"/>
            <w:vAlign w:val="center"/>
          </w:tcPr>
          <w:p w14:paraId="382D1D11">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有效</w:t>
            </w:r>
          </w:p>
        </w:tc>
      </w:tr>
      <w:tr w14:paraId="3F7E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117F92F9">
            <w:pPr>
              <w:spacing w:line="240" w:lineRule="exact"/>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2</w:t>
            </w:r>
          </w:p>
        </w:tc>
        <w:tc>
          <w:tcPr>
            <w:tcW w:w="1380" w:type="dxa"/>
            <w:gridSpan w:val="2"/>
            <w:shd w:val="clear" w:color="auto" w:fill="auto"/>
            <w:vAlign w:val="center"/>
          </w:tcPr>
          <w:p w14:paraId="019180B0">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论文</w:t>
            </w:r>
          </w:p>
        </w:tc>
        <w:tc>
          <w:tcPr>
            <w:tcW w:w="1980" w:type="dxa"/>
            <w:shd w:val="clear" w:color="auto" w:fill="auto"/>
            <w:vAlign w:val="center"/>
          </w:tcPr>
          <w:p w14:paraId="41BDB022">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Prenatal low-dose DEHP exposure induces metabolic adaptation and obesity: Role of hepatic thiamine metabolism</w:t>
            </w:r>
          </w:p>
        </w:tc>
        <w:tc>
          <w:tcPr>
            <w:tcW w:w="810" w:type="dxa"/>
            <w:shd w:val="clear" w:color="auto" w:fill="auto"/>
            <w:vAlign w:val="center"/>
          </w:tcPr>
          <w:p w14:paraId="3F0C3930">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26DF5BA2">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Journal of Hazardous Materials</w:t>
            </w:r>
            <w:r>
              <w:rPr>
                <w:rFonts w:hint="default" w:ascii="Times New Roman" w:hAnsi="Times New Roman" w:cs="Times New Roman" w:eastAsiaTheme="minorEastAsia"/>
                <w:sz w:val="18"/>
                <w:szCs w:val="18"/>
              </w:rPr>
              <w:tab/>
            </w:r>
            <w:r>
              <w:rPr>
                <w:rFonts w:hint="default" w:ascii="Times New Roman" w:hAnsi="Times New Roman" w:cs="Times New Roman" w:eastAsiaTheme="minorEastAsia"/>
                <w:sz w:val="18"/>
                <w:szCs w:val="18"/>
              </w:rPr>
              <w:tab/>
            </w:r>
          </w:p>
        </w:tc>
        <w:tc>
          <w:tcPr>
            <w:tcW w:w="1485" w:type="dxa"/>
            <w:shd w:val="clear" w:color="auto" w:fill="auto"/>
            <w:vAlign w:val="center"/>
          </w:tcPr>
          <w:p w14:paraId="2D97844C">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2020-03-05</w:t>
            </w:r>
          </w:p>
        </w:tc>
        <w:tc>
          <w:tcPr>
            <w:tcW w:w="1800" w:type="dxa"/>
            <w:shd w:val="clear" w:color="auto" w:fill="auto"/>
            <w:vAlign w:val="center"/>
          </w:tcPr>
          <w:p w14:paraId="7DFE19D8">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ISSN: 0304-3894</w:t>
            </w:r>
          </w:p>
        </w:tc>
        <w:tc>
          <w:tcPr>
            <w:tcW w:w="1538" w:type="dxa"/>
            <w:shd w:val="clear" w:color="auto" w:fill="auto"/>
            <w:vAlign w:val="center"/>
          </w:tcPr>
          <w:p w14:paraId="6FA3FAAB">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南京医科大学</w:t>
            </w:r>
          </w:p>
        </w:tc>
        <w:tc>
          <w:tcPr>
            <w:tcW w:w="1325" w:type="dxa"/>
            <w:shd w:val="clear" w:color="auto" w:fill="auto"/>
            <w:vAlign w:val="center"/>
          </w:tcPr>
          <w:p w14:paraId="7EF38F91">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陆春城</w:t>
            </w:r>
          </w:p>
        </w:tc>
        <w:tc>
          <w:tcPr>
            <w:tcW w:w="1483" w:type="dxa"/>
            <w:shd w:val="clear" w:color="auto" w:fill="auto"/>
            <w:vAlign w:val="center"/>
          </w:tcPr>
          <w:p w14:paraId="577A7A25">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有效</w:t>
            </w:r>
          </w:p>
        </w:tc>
      </w:tr>
      <w:tr w14:paraId="0246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208E4294">
            <w:pPr>
              <w:spacing w:line="240" w:lineRule="exact"/>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3</w:t>
            </w:r>
          </w:p>
        </w:tc>
        <w:tc>
          <w:tcPr>
            <w:tcW w:w="1380" w:type="dxa"/>
            <w:gridSpan w:val="2"/>
            <w:shd w:val="clear" w:color="auto" w:fill="auto"/>
            <w:vAlign w:val="center"/>
          </w:tcPr>
          <w:p w14:paraId="696E8A19">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发明专利</w:t>
            </w:r>
          </w:p>
        </w:tc>
        <w:tc>
          <w:tcPr>
            <w:tcW w:w="1980" w:type="dxa"/>
            <w:shd w:val="clear" w:color="auto" w:fill="auto"/>
            <w:vAlign w:val="center"/>
          </w:tcPr>
          <w:p w14:paraId="1C6BE405">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早期识别高危孕妇胎盘植入性疾病发生风险的分类器及其训练系统</w:t>
            </w:r>
          </w:p>
        </w:tc>
        <w:tc>
          <w:tcPr>
            <w:tcW w:w="810" w:type="dxa"/>
            <w:shd w:val="clear" w:color="auto" w:fill="auto"/>
            <w:vAlign w:val="center"/>
          </w:tcPr>
          <w:p w14:paraId="354BD351">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58F94C09">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ZL 202411383048.5</w:t>
            </w:r>
          </w:p>
        </w:tc>
        <w:tc>
          <w:tcPr>
            <w:tcW w:w="1485" w:type="dxa"/>
            <w:shd w:val="clear" w:color="auto" w:fill="auto"/>
            <w:vAlign w:val="center"/>
          </w:tcPr>
          <w:p w14:paraId="4B9E9486">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2025-0</w:t>
            </w:r>
            <w:r>
              <w:rPr>
                <w:rFonts w:hint="default" w:ascii="Times New Roman" w:hAnsi="Times New Roman" w:cs="Times New Roman" w:eastAsiaTheme="minorEastAsia"/>
                <w:sz w:val="18"/>
                <w:szCs w:val="18"/>
                <w:lang w:val="en-US" w:eastAsia="zh-CN"/>
              </w:rPr>
              <w:t>8</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05</w:t>
            </w:r>
          </w:p>
        </w:tc>
        <w:tc>
          <w:tcPr>
            <w:tcW w:w="1800" w:type="dxa"/>
            <w:shd w:val="clear" w:color="auto" w:fill="auto"/>
            <w:vAlign w:val="center"/>
          </w:tcPr>
          <w:p w14:paraId="738E30A4">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国家知识产权局</w:t>
            </w:r>
          </w:p>
        </w:tc>
        <w:tc>
          <w:tcPr>
            <w:tcW w:w="1538" w:type="dxa"/>
            <w:shd w:val="clear" w:color="auto" w:fill="auto"/>
            <w:vAlign w:val="center"/>
          </w:tcPr>
          <w:p w14:paraId="4228FA4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常州市妇幼保健院</w:t>
            </w:r>
          </w:p>
        </w:tc>
        <w:tc>
          <w:tcPr>
            <w:tcW w:w="1325" w:type="dxa"/>
            <w:shd w:val="clear" w:color="auto" w:fill="auto"/>
            <w:vAlign w:val="center"/>
          </w:tcPr>
          <w:p w14:paraId="6694A9A8">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石中华</w:t>
            </w:r>
          </w:p>
        </w:tc>
        <w:tc>
          <w:tcPr>
            <w:tcW w:w="1483" w:type="dxa"/>
            <w:shd w:val="clear" w:color="auto" w:fill="auto"/>
            <w:vAlign w:val="center"/>
          </w:tcPr>
          <w:p w14:paraId="6F245A75">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有效</w:t>
            </w:r>
          </w:p>
        </w:tc>
      </w:tr>
      <w:tr w14:paraId="2469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6B5E0E60">
            <w:pPr>
              <w:spacing w:line="240" w:lineRule="exact"/>
              <w:jc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4</w:t>
            </w:r>
          </w:p>
        </w:tc>
        <w:tc>
          <w:tcPr>
            <w:tcW w:w="1380" w:type="dxa"/>
            <w:gridSpan w:val="2"/>
            <w:shd w:val="clear" w:color="auto" w:fill="auto"/>
            <w:vAlign w:val="center"/>
          </w:tcPr>
          <w:p w14:paraId="07F0AF13">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论文</w:t>
            </w:r>
          </w:p>
        </w:tc>
        <w:tc>
          <w:tcPr>
            <w:tcW w:w="1980" w:type="dxa"/>
            <w:shd w:val="clear" w:color="auto" w:fill="auto"/>
            <w:vAlign w:val="center"/>
          </w:tcPr>
          <w:p w14:paraId="1B6CDBDD">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Triglyceride-glucose index in early pregnancy predicts the risk of gestational diabetes: a prospective cohort study</w:t>
            </w:r>
          </w:p>
        </w:tc>
        <w:tc>
          <w:tcPr>
            <w:tcW w:w="810" w:type="dxa"/>
            <w:shd w:val="clear" w:color="auto" w:fill="auto"/>
            <w:vAlign w:val="center"/>
          </w:tcPr>
          <w:p w14:paraId="13FD0BD4">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59D13376">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Lipids in Health and Disease</w:t>
            </w:r>
            <w:r>
              <w:rPr>
                <w:rFonts w:hint="default" w:ascii="Times New Roman" w:hAnsi="Times New Roman" w:cs="Times New Roman" w:eastAsiaTheme="minorEastAsia"/>
                <w:sz w:val="18"/>
                <w:szCs w:val="18"/>
              </w:rPr>
              <w:tab/>
            </w:r>
            <w:r>
              <w:rPr>
                <w:rFonts w:hint="default" w:ascii="Times New Roman" w:hAnsi="Times New Roman" w:cs="Times New Roman" w:eastAsiaTheme="minorEastAsia"/>
                <w:sz w:val="18"/>
                <w:szCs w:val="18"/>
              </w:rPr>
              <w:tab/>
            </w:r>
          </w:p>
        </w:tc>
        <w:tc>
          <w:tcPr>
            <w:tcW w:w="1485" w:type="dxa"/>
            <w:shd w:val="clear" w:color="auto" w:fill="auto"/>
            <w:vAlign w:val="center"/>
          </w:tcPr>
          <w:p w14:paraId="49BBD217">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2024-03-25</w:t>
            </w:r>
          </w:p>
        </w:tc>
        <w:tc>
          <w:tcPr>
            <w:tcW w:w="1800" w:type="dxa"/>
            <w:shd w:val="clear" w:color="auto" w:fill="auto"/>
            <w:vAlign w:val="center"/>
          </w:tcPr>
          <w:p w14:paraId="37BC987F">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ISSN: 1476-511X</w:t>
            </w:r>
          </w:p>
        </w:tc>
        <w:tc>
          <w:tcPr>
            <w:tcW w:w="1538" w:type="dxa"/>
            <w:shd w:val="clear" w:color="auto" w:fill="auto"/>
            <w:vAlign w:val="center"/>
          </w:tcPr>
          <w:p w14:paraId="2757C736">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乌鲁木齐市妇幼保健院</w:t>
            </w:r>
          </w:p>
        </w:tc>
        <w:tc>
          <w:tcPr>
            <w:tcW w:w="1325" w:type="dxa"/>
            <w:shd w:val="clear" w:color="auto" w:fill="auto"/>
            <w:vAlign w:val="center"/>
          </w:tcPr>
          <w:p w14:paraId="11B877C9">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丁桂凤</w:t>
            </w:r>
          </w:p>
        </w:tc>
        <w:tc>
          <w:tcPr>
            <w:tcW w:w="1483" w:type="dxa"/>
            <w:shd w:val="clear" w:color="auto" w:fill="auto"/>
            <w:vAlign w:val="center"/>
          </w:tcPr>
          <w:p w14:paraId="5DC588BD">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有效</w:t>
            </w:r>
          </w:p>
        </w:tc>
      </w:tr>
      <w:tr w14:paraId="054D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3805C35F">
            <w:pPr>
              <w:spacing w:line="240" w:lineRule="exact"/>
              <w:jc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lang w:val="en-US" w:eastAsia="zh-CN"/>
              </w:rPr>
              <w:t>5</w:t>
            </w:r>
          </w:p>
        </w:tc>
        <w:tc>
          <w:tcPr>
            <w:tcW w:w="1380" w:type="dxa"/>
            <w:gridSpan w:val="2"/>
            <w:shd w:val="clear" w:color="auto" w:fill="auto"/>
            <w:vAlign w:val="center"/>
          </w:tcPr>
          <w:p w14:paraId="5F1D46C6">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论文</w:t>
            </w:r>
          </w:p>
        </w:tc>
        <w:tc>
          <w:tcPr>
            <w:tcW w:w="1980" w:type="dxa"/>
            <w:shd w:val="clear" w:color="auto" w:fill="auto"/>
            <w:vAlign w:val="center"/>
          </w:tcPr>
          <w:p w14:paraId="230DD15A">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Association of social determinants of health and age at menopause: NHANES 1999-2018 observational study</w:t>
            </w:r>
          </w:p>
        </w:tc>
        <w:tc>
          <w:tcPr>
            <w:tcW w:w="810" w:type="dxa"/>
            <w:shd w:val="clear" w:color="auto" w:fill="auto"/>
            <w:vAlign w:val="center"/>
          </w:tcPr>
          <w:p w14:paraId="4C5B8EDA">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67E133C1">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Human Reproduction Open</w:t>
            </w:r>
          </w:p>
        </w:tc>
        <w:tc>
          <w:tcPr>
            <w:tcW w:w="1485" w:type="dxa"/>
            <w:shd w:val="clear" w:color="auto" w:fill="auto"/>
            <w:vAlign w:val="center"/>
          </w:tcPr>
          <w:p w14:paraId="75E6292E">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2025-08-18</w:t>
            </w:r>
          </w:p>
        </w:tc>
        <w:tc>
          <w:tcPr>
            <w:tcW w:w="1800" w:type="dxa"/>
            <w:shd w:val="clear" w:color="auto" w:fill="auto"/>
            <w:vAlign w:val="center"/>
          </w:tcPr>
          <w:p w14:paraId="697EAE02">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ISSN: 2399-3529</w:t>
            </w:r>
          </w:p>
        </w:tc>
        <w:tc>
          <w:tcPr>
            <w:tcW w:w="1538" w:type="dxa"/>
            <w:shd w:val="clear" w:color="auto" w:fill="auto"/>
            <w:vAlign w:val="center"/>
          </w:tcPr>
          <w:p w14:paraId="2F08948D">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武汉大学</w:t>
            </w:r>
          </w:p>
        </w:tc>
        <w:tc>
          <w:tcPr>
            <w:tcW w:w="1325" w:type="dxa"/>
            <w:shd w:val="clear" w:color="auto" w:fill="auto"/>
            <w:vAlign w:val="center"/>
          </w:tcPr>
          <w:p w14:paraId="0FA68EA4">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张艳</w:t>
            </w:r>
          </w:p>
        </w:tc>
        <w:tc>
          <w:tcPr>
            <w:tcW w:w="1483" w:type="dxa"/>
            <w:shd w:val="clear" w:color="auto" w:fill="auto"/>
            <w:vAlign w:val="center"/>
          </w:tcPr>
          <w:p w14:paraId="49D553E1">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有效</w:t>
            </w:r>
          </w:p>
        </w:tc>
      </w:tr>
      <w:tr w14:paraId="3BF2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3D8139B1">
            <w:pPr>
              <w:spacing w:line="240" w:lineRule="exact"/>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val="en-US" w:eastAsia="zh-CN"/>
              </w:rPr>
              <w:t>6</w:t>
            </w:r>
          </w:p>
        </w:tc>
        <w:tc>
          <w:tcPr>
            <w:tcW w:w="1380" w:type="dxa"/>
            <w:gridSpan w:val="2"/>
            <w:shd w:val="clear" w:color="auto" w:fill="auto"/>
            <w:vAlign w:val="center"/>
          </w:tcPr>
          <w:p w14:paraId="734943B6">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发明专利</w:t>
            </w:r>
          </w:p>
        </w:tc>
        <w:tc>
          <w:tcPr>
            <w:tcW w:w="1980" w:type="dxa"/>
            <w:shd w:val="clear" w:color="auto" w:fill="auto"/>
            <w:vAlign w:val="center"/>
          </w:tcPr>
          <w:p w14:paraId="18DDB227">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用于诊断不明原因复发性流产的血清lncRNA标志物、引物组及应用和试剂盒</w:t>
            </w:r>
          </w:p>
        </w:tc>
        <w:tc>
          <w:tcPr>
            <w:tcW w:w="810" w:type="dxa"/>
            <w:shd w:val="clear" w:color="auto" w:fill="auto"/>
            <w:vAlign w:val="center"/>
          </w:tcPr>
          <w:p w14:paraId="06DF831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3B3E70DC">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ZL </w:t>
            </w:r>
          </w:p>
          <w:p w14:paraId="0822C682">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201710806212.2</w:t>
            </w:r>
          </w:p>
        </w:tc>
        <w:tc>
          <w:tcPr>
            <w:tcW w:w="1485" w:type="dxa"/>
            <w:shd w:val="clear" w:color="auto" w:fill="auto"/>
            <w:vAlign w:val="center"/>
          </w:tcPr>
          <w:p w14:paraId="14023A8F">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rPr>
              <w:t>202</w:t>
            </w:r>
            <w:r>
              <w:rPr>
                <w:rFonts w:hint="default" w:ascii="Times New Roman" w:hAnsi="Times New Roman" w:cs="Times New Roman" w:eastAsiaTheme="minorEastAsia"/>
                <w:sz w:val="18"/>
                <w:szCs w:val="18"/>
                <w:lang w:val="en-US" w:eastAsia="zh-CN"/>
              </w:rPr>
              <w:t>1</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10</w:t>
            </w:r>
            <w:r>
              <w:rPr>
                <w:rFonts w:hint="default" w:ascii="Times New Roman" w:hAnsi="Times New Roman" w:cs="Times New Roman" w:eastAsiaTheme="minorEastAsia"/>
                <w:sz w:val="18"/>
                <w:szCs w:val="18"/>
              </w:rPr>
              <w:t>-2</w:t>
            </w:r>
            <w:r>
              <w:rPr>
                <w:rFonts w:hint="default" w:ascii="Times New Roman" w:hAnsi="Times New Roman" w:cs="Times New Roman" w:eastAsiaTheme="minorEastAsia"/>
                <w:sz w:val="18"/>
                <w:szCs w:val="18"/>
                <w:lang w:val="en-US" w:eastAsia="zh-CN"/>
              </w:rPr>
              <w:t>2</w:t>
            </w:r>
          </w:p>
        </w:tc>
        <w:tc>
          <w:tcPr>
            <w:tcW w:w="1800" w:type="dxa"/>
            <w:shd w:val="clear" w:color="auto" w:fill="auto"/>
            <w:vAlign w:val="center"/>
          </w:tcPr>
          <w:p w14:paraId="691CBFCB">
            <w:pPr>
              <w:spacing w:line="24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lang w:val="en-US" w:eastAsia="zh-CN"/>
              </w:rPr>
              <w:t>国家知识产权局</w:t>
            </w:r>
          </w:p>
        </w:tc>
        <w:tc>
          <w:tcPr>
            <w:tcW w:w="1538" w:type="dxa"/>
            <w:shd w:val="clear" w:color="auto" w:fill="auto"/>
            <w:vAlign w:val="center"/>
          </w:tcPr>
          <w:p w14:paraId="4C9FB3B3">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南京医科大学</w:t>
            </w:r>
          </w:p>
        </w:tc>
        <w:tc>
          <w:tcPr>
            <w:tcW w:w="1325" w:type="dxa"/>
            <w:shd w:val="clear" w:color="auto" w:fill="auto"/>
            <w:vAlign w:val="center"/>
          </w:tcPr>
          <w:p w14:paraId="0F949779">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陆春城</w:t>
            </w:r>
          </w:p>
        </w:tc>
        <w:tc>
          <w:tcPr>
            <w:tcW w:w="1483" w:type="dxa"/>
            <w:shd w:val="clear" w:color="auto" w:fill="auto"/>
            <w:vAlign w:val="center"/>
          </w:tcPr>
          <w:p w14:paraId="7B5CC07F">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有效</w:t>
            </w:r>
          </w:p>
        </w:tc>
      </w:tr>
      <w:tr w14:paraId="2410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710" w:type="dxa"/>
            <w:shd w:val="clear" w:color="auto" w:fill="auto"/>
            <w:vAlign w:val="center"/>
          </w:tcPr>
          <w:p w14:paraId="44B35BF5">
            <w:pPr>
              <w:spacing w:line="240" w:lineRule="exact"/>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val="en-US" w:eastAsia="zh-CN"/>
              </w:rPr>
              <w:t>7</w:t>
            </w:r>
          </w:p>
        </w:tc>
        <w:tc>
          <w:tcPr>
            <w:tcW w:w="1380" w:type="dxa"/>
            <w:gridSpan w:val="2"/>
            <w:shd w:val="clear" w:color="auto" w:fill="auto"/>
            <w:vAlign w:val="center"/>
          </w:tcPr>
          <w:p w14:paraId="4322AA46">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发明专利</w:t>
            </w:r>
          </w:p>
        </w:tc>
        <w:tc>
          <w:tcPr>
            <w:tcW w:w="1980" w:type="dxa"/>
            <w:shd w:val="clear" w:color="auto" w:fill="auto"/>
            <w:vAlign w:val="center"/>
          </w:tcPr>
          <w:p w14:paraId="0FD44A01">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基于胚胎图像序列的自动聚焦方法、电子设备及存储介质</w:t>
            </w:r>
          </w:p>
        </w:tc>
        <w:tc>
          <w:tcPr>
            <w:tcW w:w="810" w:type="dxa"/>
            <w:shd w:val="clear" w:color="auto" w:fill="auto"/>
            <w:vAlign w:val="center"/>
          </w:tcPr>
          <w:p w14:paraId="1394A5F1">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5D941D63">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 xml:space="preserve">ZL </w:t>
            </w:r>
          </w:p>
          <w:p w14:paraId="6F61C0FA">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202411613248.5</w:t>
            </w:r>
            <w:r>
              <w:rPr>
                <w:rFonts w:hint="default" w:ascii="Times New Roman" w:hAnsi="Times New Roman" w:cs="Times New Roman" w:eastAsiaTheme="minorEastAsia"/>
                <w:sz w:val="18"/>
                <w:szCs w:val="18"/>
              </w:rPr>
              <w:tab/>
            </w:r>
          </w:p>
        </w:tc>
        <w:tc>
          <w:tcPr>
            <w:tcW w:w="1485" w:type="dxa"/>
            <w:shd w:val="clear" w:color="auto" w:fill="auto"/>
            <w:vAlign w:val="center"/>
          </w:tcPr>
          <w:p w14:paraId="6B2CC015">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202</w:t>
            </w:r>
            <w:r>
              <w:rPr>
                <w:rFonts w:hint="default" w:ascii="Times New Roman" w:hAnsi="Times New Roman" w:cs="Times New Roman" w:eastAsiaTheme="minorEastAsia"/>
                <w:sz w:val="18"/>
                <w:szCs w:val="18"/>
                <w:lang w:val="en-US" w:eastAsia="zh-CN"/>
              </w:rPr>
              <w:t>5</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03</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11</w:t>
            </w:r>
          </w:p>
        </w:tc>
        <w:tc>
          <w:tcPr>
            <w:tcW w:w="1800" w:type="dxa"/>
            <w:shd w:val="clear" w:color="auto" w:fill="auto"/>
            <w:vAlign w:val="center"/>
          </w:tcPr>
          <w:p w14:paraId="1D7A454E">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国家知识产权局</w:t>
            </w:r>
          </w:p>
        </w:tc>
        <w:tc>
          <w:tcPr>
            <w:tcW w:w="1538" w:type="dxa"/>
            <w:shd w:val="clear" w:color="auto" w:fill="auto"/>
            <w:vAlign w:val="center"/>
          </w:tcPr>
          <w:p w14:paraId="5E9A04FD">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武汉互创联合科技有限公司</w:t>
            </w:r>
          </w:p>
        </w:tc>
        <w:tc>
          <w:tcPr>
            <w:tcW w:w="1325" w:type="dxa"/>
            <w:shd w:val="clear" w:color="auto" w:fill="auto"/>
            <w:vAlign w:val="center"/>
          </w:tcPr>
          <w:p w14:paraId="51B162F8">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彭松林</w:t>
            </w:r>
          </w:p>
        </w:tc>
        <w:tc>
          <w:tcPr>
            <w:tcW w:w="1483" w:type="dxa"/>
            <w:shd w:val="clear" w:color="auto" w:fill="auto"/>
            <w:vAlign w:val="center"/>
          </w:tcPr>
          <w:p w14:paraId="4F9F064C">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有效</w:t>
            </w:r>
          </w:p>
        </w:tc>
      </w:tr>
      <w:tr w14:paraId="423F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715DA934">
            <w:pPr>
              <w:spacing w:line="240" w:lineRule="exact"/>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val="en-US" w:eastAsia="zh-CN"/>
              </w:rPr>
              <w:t>8</w:t>
            </w:r>
          </w:p>
        </w:tc>
        <w:tc>
          <w:tcPr>
            <w:tcW w:w="1380" w:type="dxa"/>
            <w:gridSpan w:val="2"/>
            <w:shd w:val="clear" w:color="auto" w:fill="auto"/>
            <w:vAlign w:val="center"/>
          </w:tcPr>
          <w:p w14:paraId="62866875">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论文</w:t>
            </w:r>
          </w:p>
        </w:tc>
        <w:tc>
          <w:tcPr>
            <w:tcW w:w="1980" w:type="dxa"/>
            <w:shd w:val="clear" w:color="auto" w:fill="auto"/>
            <w:vAlign w:val="center"/>
          </w:tcPr>
          <w:p w14:paraId="13DA87FB">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KLF4 regulates trophoblast function and associates with unexplained recurrent spontaneous abortion</w:t>
            </w:r>
          </w:p>
        </w:tc>
        <w:tc>
          <w:tcPr>
            <w:tcW w:w="810" w:type="dxa"/>
            <w:shd w:val="clear" w:color="auto" w:fill="auto"/>
            <w:vAlign w:val="center"/>
          </w:tcPr>
          <w:p w14:paraId="784DDC98">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0177E5E1">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Journal of Translational Medicine</w:t>
            </w:r>
            <w:r>
              <w:rPr>
                <w:rFonts w:hint="default" w:ascii="Times New Roman" w:hAnsi="Times New Roman" w:cs="Times New Roman" w:eastAsiaTheme="minorEastAsia"/>
                <w:sz w:val="18"/>
                <w:szCs w:val="18"/>
              </w:rPr>
              <w:tab/>
            </w:r>
          </w:p>
        </w:tc>
        <w:tc>
          <w:tcPr>
            <w:tcW w:w="1485" w:type="dxa"/>
            <w:shd w:val="clear" w:color="auto" w:fill="auto"/>
            <w:vAlign w:val="center"/>
          </w:tcPr>
          <w:p w14:paraId="53760FF0">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2024-10-10</w:t>
            </w:r>
          </w:p>
        </w:tc>
        <w:tc>
          <w:tcPr>
            <w:tcW w:w="1800" w:type="dxa"/>
            <w:shd w:val="clear" w:color="auto" w:fill="auto"/>
            <w:vAlign w:val="center"/>
          </w:tcPr>
          <w:p w14:paraId="42216885">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ISSN: 1479-5876</w:t>
            </w:r>
          </w:p>
        </w:tc>
        <w:tc>
          <w:tcPr>
            <w:tcW w:w="1538" w:type="dxa"/>
            <w:shd w:val="clear" w:color="auto" w:fill="auto"/>
            <w:vAlign w:val="center"/>
          </w:tcPr>
          <w:p w14:paraId="7CB6299F">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武汉大学</w:t>
            </w:r>
          </w:p>
        </w:tc>
        <w:tc>
          <w:tcPr>
            <w:tcW w:w="1325" w:type="dxa"/>
            <w:shd w:val="clear" w:color="auto" w:fill="auto"/>
            <w:vAlign w:val="center"/>
          </w:tcPr>
          <w:p w14:paraId="489DFF0F">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张艳</w:t>
            </w:r>
          </w:p>
        </w:tc>
        <w:tc>
          <w:tcPr>
            <w:tcW w:w="1483" w:type="dxa"/>
            <w:shd w:val="clear" w:color="auto" w:fill="auto"/>
            <w:vAlign w:val="center"/>
          </w:tcPr>
          <w:p w14:paraId="7A89E854">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有效</w:t>
            </w:r>
          </w:p>
        </w:tc>
      </w:tr>
      <w:tr w14:paraId="111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583CCC91">
            <w:pPr>
              <w:spacing w:line="240" w:lineRule="exact"/>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val="en-US" w:eastAsia="zh-CN"/>
              </w:rPr>
              <w:t>9</w:t>
            </w:r>
          </w:p>
        </w:tc>
        <w:tc>
          <w:tcPr>
            <w:tcW w:w="1380" w:type="dxa"/>
            <w:gridSpan w:val="2"/>
            <w:shd w:val="clear" w:color="auto" w:fill="auto"/>
            <w:vAlign w:val="center"/>
          </w:tcPr>
          <w:p w14:paraId="5662E7EC">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论文</w:t>
            </w:r>
          </w:p>
        </w:tc>
        <w:tc>
          <w:tcPr>
            <w:tcW w:w="1980" w:type="dxa"/>
            <w:shd w:val="clear" w:color="auto" w:fill="auto"/>
            <w:vAlign w:val="center"/>
          </w:tcPr>
          <w:p w14:paraId="2861C60F">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PFOS Disrupts Oocyte Maturation and Early Embryonic Development via Ovarian FOXK1 O-GlcNAcylation in Mice</w:t>
            </w:r>
          </w:p>
        </w:tc>
        <w:tc>
          <w:tcPr>
            <w:tcW w:w="810" w:type="dxa"/>
            <w:shd w:val="clear" w:color="auto" w:fill="auto"/>
            <w:vAlign w:val="center"/>
          </w:tcPr>
          <w:p w14:paraId="7E5844D8">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5BEB9665">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Advanced Science</w:t>
            </w:r>
            <w:r>
              <w:rPr>
                <w:rFonts w:hint="default" w:ascii="Times New Roman" w:hAnsi="Times New Roman" w:cs="Times New Roman" w:eastAsiaTheme="minorEastAsia"/>
                <w:sz w:val="18"/>
                <w:szCs w:val="18"/>
              </w:rPr>
              <w:tab/>
            </w:r>
          </w:p>
        </w:tc>
        <w:tc>
          <w:tcPr>
            <w:tcW w:w="1485" w:type="dxa"/>
            <w:shd w:val="clear" w:color="auto" w:fill="auto"/>
            <w:vAlign w:val="center"/>
          </w:tcPr>
          <w:p w14:paraId="30F40070">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202</w:t>
            </w:r>
            <w:r>
              <w:rPr>
                <w:rFonts w:hint="default" w:ascii="Times New Roman" w:hAnsi="Times New Roman" w:cs="Times New Roman" w:eastAsiaTheme="minorEastAsia"/>
                <w:sz w:val="18"/>
                <w:szCs w:val="18"/>
                <w:lang w:val="en-US" w:eastAsia="zh-CN"/>
              </w:rPr>
              <w:t>6</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02</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01</w:t>
            </w:r>
          </w:p>
        </w:tc>
        <w:tc>
          <w:tcPr>
            <w:tcW w:w="1800" w:type="dxa"/>
            <w:shd w:val="clear" w:color="auto" w:fill="auto"/>
            <w:vAlign w:val="center"/>
          </w:tcPr>
          <w:p w14:paraId="751B30FB">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ISSN: 2198-3844</w:t>
            </w:r>
          </w:p>
        </w:tc>
        <w:tc>
          <w:tcPr>
            <w:tcW w:w="1538" w:type="dxa"/>
            <w:shd w:val="clear" w:color="auto" w:fill="auto"/>
            <w:vAlign w:val="center"/>
          </w:tcPr>
          <w:p w14:paraId="5D7FF5CA">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南京医科大学</w:t>
            </w:r>
          </w:p>
        </w:tc>
        <w:tc>
          <w:tcPr>
            <w:tcW w:w="1325" w:type="dxa"/>
            <w:shd w:val="clear" w:color="auto" w:fill="auto"/>
            <w:vAlign w:val="center"/>
          </w:tcPr>
          <w:p w14:paraId="1AD1918E">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陆春城</w:t>
            </w:r>
          </w:p>
        </w:tc>
        <w:tc>
          <w:tcPr>
            <w:tcW w:w="1483" w:type="dxa"/>
            <w:shd w:val="clear" w:color="auto" w:fill="auto"/>
            <w:vAlign w:val="center"/>
          </w:tcPr>
          <w:p w14:paraId="5A95FBD0">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有效</w:t>
            </w:r>
          </w:p>
        </w:tc>
      </w:tr>
      <w:tr w14:paraId="0070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shd w:val="clear" w:color="auto" w:fill="auto"/>
            <w:vAlign w:val="center"/>
          </w:tcPr>
          <w:p w14:paraId="6263103A">
            <w:pPr>
              <w:spacing w:line="240" w:lineRule="exact"/>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10</w:t>
            </w:r>
          </w:p>
        </w:tc>
        <w:tc>
          <w:tcPr>
            <w:tcW w:w="1380" w:type="dxa"/>
            <w:gridSpan w:val="2"/>
            <w:shd w:val="clear" w:color="auto" w:fill="auto"/>
            <w:vAlign w:val="center"/>
          </w:tcPr>
          <w:p w14:paraId="5B3ECD0D">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著作</w:t>
            </w:r>
          </w:p>
        </w:tc>
        <w:tc>
          <w:tcPr>
            <w:tcW w:w="1980" w:type="dxa"/>
            <w:shd w:val="clear" w:color="auto" w:fill="auto"/>
            <w:vAlign w:val="center"/>
          </w:tcPr>
          <w:p w14:paraId="32B185B6">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血液四兄弟</w:t>
            </w:r>
          </w:p>
        </w:tc>
        <w:tc>
          <w:tcPr>
            <w:tcW w:w="810" w:type="dxa"/>
            <w:shd w:val="clear" w:color="auto" w:fill="auto"/>
            <w:vAlign w:val="center"/>
          </w:tcPr>
          <w:p w14:paraId="0D9545F0">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中国</w:t>
            </w:r>
          </w:p>
        </w:tc>
        <w:tc>
          <w:tcPr>
            <w:tcW w:w="1095" w:type="dxa"/>
            <w:shd w:val="clear" w:color="auto" w:fill="auto"/>
            <w:vAlign w:val="center"/>
          </w:tcPr>
          <w:p w14:paraId="33DC5BF7">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长江少年儿童出版社</w:t>
            </w:r>
            <w:r>
              <w:rPr>
                <w:rFonts w:hint="default" w:ascii="Times New Roman" w:hAnsi="Times New Roman" w:cs="Times New Roman" w:eastAsiaTheme="minorEastAsia"/>
                <w:sz w:val="18"/>
                <w:szCs w:val="18"/>
              </w:rPr>
              <w:tab/>
            </w:r>
          </w:p>
        </w:tc>
        <w:tc>
          <w:tcPr>
            <w:tcW w:w="1485" w:type="dxa"/>
            <w:shd w:val="clear" w:color="auto" w:fill="auto"/>
            <w:vAlign w:val="center"/>
          </w:tcPr>
          <w:p w14:paraId="7AFE54F0">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rPr>
              <w:t>202</w:t>
            </w:r>
            <w:r>
              <w:rPr>
                <w:rFonts w:hint="default" w:ascii="Times New Roman" w:hAnsi="Times New Roman" w:cs="Times New Roman" w:eastAsiaTheme="minorEastAsia"/>
                <w:sz w:val="18"/>
                <w:szCs w:val="18"/>
                <w:lang w:val="en-US" w:eastAsia="zh-CN"/>
              </w:rPr>
              <w:t>5</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10</w:t>
            </w:r>
            <w:r>
              <w:rPr>
                <w:rFonts w:hint="default" w:ascii="Times New Roman" w:hAnsi="Times New Roman" w:cs="Times New Roman" w:eastAsiaTheme="minorEastAsia"/>
                <w:sz w:val="18"/>
                <w:szCs w:val="18"/>
              </w:rPr>
              <w:t>-</w:t>
            </w:r>
            <w:r>
              <w:rPr>
                <w:rFonts w:hint="default" w:ascii="Times New Roman" w:hAnsi="Times New Roman" w:cs="Times New Roman" w:eastAsiaTheme="minorEastAsia"/>
                <w:sz w:val="18"/>
                <w:szCs w:val="18"/>
                <w:lang w:val="en-US" w:eastAsia="zh-CN"/>
              </w:rPr>
              <w:t>01</w:t>
            </w:r>
          </w:p>
        </w:tc>
        <w:tc>
          <w:tcPr>
            <w:tcW w:w="1800" w:type="dxa"/>
            <w:shd w:val="clear" w:color="auto" w:fill="auto"/>
            <w:vAlign w:val="center"/>
          </w:tcPr>
          <w:p w14:paraId="4C3A2E21">
            <w:pPr>
              <w:spacing w:line="24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ISBN:978-7-5721-6171-1</w:t>
            </w:r>
          </w:p>
        </w:tc>
        <w:tc>
          <w:tcPr>
            <w:tcW w:w="1538" w:type="dxa"/>
            <w:shd w:val="clear" w:color="auto" w:fill="auto"/>
            <w:vAlign w:val="center"/>
          </w:tcPr>
          <w:p w14:paraId="161513F4">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武汉大学/</w:t>
            </w:r>
            <w:r>
              <w:rPr>
                <w:rFonts w:hint="eastAsia" w:asciiTheme="minorEastAsia" w:hAnsiTheme="minorEastAsia" w:eastAsiaTheme="minorEastAsia" w:cstheme="minorEastAsia"/>
                <w:sz w:val="18"/>
                <w:szCs w:val="18"/>
              </w:rPr>
              <w:t>乌鲁木齐市妇幼保健院</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南京医科大学</w:t>
            </w:r>
          </w:p>
        </w:tc>
        <w:tc>
          <w:tcPr>
            <w:tcW w:w="1325" w:type="dxa"/>
            <w:shd w:val="clear" w:color="auto" w:fill="auto"/>
            <w:vAlign w:val="center"/>
          </w:tcPr>
          <w:p w14:paraId="0C5456D1">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张艳、丁桂凤、陆春城</w:t>
            </w:r>
          </w:p>
        </w:tc>
        <w:tc>
          <w:tcPr>
            <w:tcW w:w="1483" w:type="dxa"/>
            <w:shd w:val="clear" w:color="auto" w:fill="auto"/>
            <w:vAlign w:val="center"/>
          </w:tcPr>
          <w:p w14:paraId="5C1E1639">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有效</w:t>
            </w:r>
          </w:p>
        </w:tc>
      </w:tr>
    </w:tbl>
    <w:p w14:paraId="7C432A5C">
      <w:pPr>
        <w:spacing w:line="20" w:lineRule="exact"/>
        <w:rPr>
          <w:rFonts w:hint="eastAsia" w:ascii="华文中宋" w:hAnsi="华文中宋" w:eastAsia="华文中宋" w:cs="华文中宋"/>
          <w:sz w:val="21"/>
          <w:szCs w:val="21"/>
        </w:rPr>
      </w:pPr>
    </w:p>
    <w:p w14:paraId="261890F0">
      <w:pPr>
        <w:spacing w:line="20" w:lineRule="exact"/>
        <w:rPr>
          <w:rFonts w:hint="eastAsia" w:ascii="华文中宋" w:hAnsi="华文中宋" w:eastAsia="华文中宋" w:cs="华文中宋"/>
          <w:sz w:val="21"/>
          <w:szCs w:val="21"/>
        </w:rPr>
      </w:pPr>
    </w:p>
    <w:p w14:paraId="56D66E96">
      <w:pPr>
        <w:spacing w:line="20" w:lineRule="exact"/>
        <w:rPr>
          <w:rFonts w:hint="eastAsia" w:ascii="华文中宋" w:hAnsi="华文中宋" w:eastAsia="华文中宋" w:cs="华文中宋"/>
          <w:sz w:val="21"/>
          <w:szCs w:val="21"/>
        </w:rPr>
      </w:pPr>
    </w:p>
    <w:p w14:paraId="01BC4076">
      <w:pPr>
        <w:spacing w:line="20" w:lineRule="exact"/>
        <w:rPr>
          <w:rFonts w:hint="eastAsia" w:ascii="华文中宋" w:hAnsi="华文中宋" w:eastAsia="华文中宋" w:cs="华文中宋"/>
          <w:sz w:val="21"/>
          <w:szCs w:val="21"/>
        </w:rPr>
      </w:pPr>
    </w:p>
    <w:p w14:paraId="650C12C7">
      <w:pPr>
        <w:spacing w:line="20" w:lineRule="exact"/>
        <w:rPr>
          <w:rFonts w:hint="eastAsia" w:ascii="华文中宋" w:hAnsi="华文中宋" w:eastAsia="华文中宋" w:cs="华文中宋"/>
          <w:sz w:val="21"/>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134" w:header="57" w:footer="5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28F721-81D0-435E-9CB3-DFF4DA42E9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C0363049-C2A2-485F-8014-7B11AAB305B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B395">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974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4B5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FD44">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E074">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53A0">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TU4ZTNiZDhlYWQwMDJjMmU3YzIyN2I5MDdiY2MifQ=="/>
  </w:docVars>
  <w:rsids>
    <w:rsidRoot w:val="00CC1191"/>
    <w:rsid w:val="000C7F6B"/>
    <w:rsid w:val="00110654"/>
    <w:rsid w:val="001140EF"/>
    <w:rsid w:val="00124973"/>
    <w:rsid w:val="0017059E"/>
    <w:rsid w:val="001B472D"/>
    <w:rsid w:val="001C156A"/>
    <w:rsid w:val="0027745E"/>
    <w:rsid w:val="002867F9"/>
    <w:rsid w:val="00287332"/>
    <w:rsid w:val="002C462F"/>
    <w:rsid w:val="003B6016"/>
    <w:rsid w:val="00421DF8"/>
    <w:rsid w:val="00476EF0"/>
    <w:rsid w:val="004D1208"/>
    <w:rsid w:val="00587D24"/>
    <w:rsid w:val="005D0A35"/>
    <w:rsid w:val="00646ECD"/>
    <w:rsid w:val="007321E7"/>
    <w:rsid w:val="007462CD"/>
    <w:rsid w:val="00953187"/>
    <w:rsid w:val="0096259A"/>
    <w:rsid w:val="009D3FAC"/>
    <w:rsid w:val="009F08CF"/>
    <w:rsid w:val="00A64BC1"/>
    <w:rsid w:val="00A721D4"/>
    <w:rsid w:val="00AB0DA4"/>
    <w:rsid w:val="00B84FA2"/>
    <w:rsid w:val="00BF39D0"/>
    <w:rsid w:val="00C73532"/>
    <w:rsid w:val="00CA661D"/>
    <w:rsid w:val="00CC1191"/>
    <w:rsid w:val="00CF02EF"/>
    <w:rsid w:val="00D1337D"/>
    <w:rsid w:val="00E02738"/>
    <w:rsid w:val="00E939F0"/>
    <w:rsid w:val="06E14E4D"/>
    <w:rsid w:val="08580584"/>
    <w:rsid w:val="0D296776"/>
    <w:rsid w:val="101E5B5C"/>
    <w:rsid w:val="10F92125"/>
    <w:rsid w:val="1120527F"/>
    <w:rsid w:val="11717F0E"/>
    <w:rsid w:val="15051099"/>
    <w:rsid w:val="16C9354B"/>
    <w:rsid w:val="16E82A20"/>
    <w:rsid w:val="19114F77"/>
    <w:rsid w:val="1D536E88"/>
    <w:rsid w:val="1E0D5CDA"/>
    <w:rsid w:val="1E94104E"/>
    <w:rsid w:val="1F903A0F"/>
    <w:rsid w:val="227E6E5B"/>
    <w:rsid w:val="283748D1"/>
    <w:rsid w:val="2B992461"/>
    <w:rsid w:val="2D3319B5"/>
    <w:rsid w:val="2F9257C7"/>
    <w:rsid w:val="325F7859"/>
    <w:rsid w:val="33DA14EB"/>
    <w:rsid w:val="39B135B1"/>
    <w:rsid w:val="3C1655D8"/>
    <w:rsid w:val="3CAF5C0A"/>
    <w:rsid w:val="3DDD580C"/>
    <w:rsid w:val="3E6447D3"/>
    <w:rsid w:val="3F6C1B91"/>
    <w:rsid w:val="3FE47979"/>
    <w:rsid w:val="41A1768C"/>
    <w:rsid w:val="420B32C6"/>
    <w:rsid w:val="42582E81"/>
    <w:rsid w:val="425D3A13"/>
    <w:rsid w:val="44476FEC"/>
    <w:rsid w:val="467C00D5"/>
    <w:rsid w:val="467D7A4E"/>
    <w:rsid w:val="47CA2A2F"/>
    <w:rsid w:val="494644B1"/>
    <w:rsid w:val="4AEF0886"/>
    <w:rsid w:val="4C5D25D8"/>
    <w:rsid w:val="55CD3065"/>
    <w:rsid w:val="570A5B66"/>
    <w:rsid w:val="591C7D2C"/>
    <w:rsid w:val="5CA02A22"/>
    <w:rsid w:val="5F7928C3"/>
    <w:rsid w:val="603B57FF"/>
    <w:rsid w:val="607C7302"/>
    <w:rsid w:val="63B8633D"/>
    <w:rsid w:val="67271682"/>
    <w:rsid w:val="6AE04094"/>
    <w:rsid w:val="6D921628"/>
    <w:rsid w:val="6FEB6002"/>
    <w:rsid w:val="712E50BB"/>
    <w:rsid w:val="73822F68"/>
    <w:rsid w:val="743F5132"/>
    <w:rsid w:val="74576528"/>
    <w:rsid w:val="77B329AB"/>
    <w:rsid w:val="790849A2"/>
    <w:rsid w:val="7DDB0932"/>
    <w:rsid w:val="7F215A31"/>
    <w:rsid w:val="7F48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4"/>
    <w:autoRedefine/>
    <w:qFormat/>
    <w:uiPriority w:val="9"/>
    <w:pPr>
      <w:keepNext/>
      <w:keepLines/>
      <w:jc w:val="center"/>
      <w:outlineLvl w:val="0"/>
    </w:pPr>
    <w:rPr>
      <w:rFonts w:eastAsia="方正小标宋简体"/>
      <w:bCs/>
      <w:kern w:val="44"/>
      <w:sz w:val="44"/>
      <w:szCs w:val="44"/>
    </w:rPr>
  </w:style>
  <w:style w:type="paragraph" w:styleId="3">
    <w:name w:val="heading 2"/>
    <w:basedOn w:val="1"/>
    <w:next w:val="1"/>
    <w:link w:val="15"/>
    <w:autoRedefine/>
    <w:unhideWhenUsed/>
    <w:qFormat/>
    <w:uiPriority w:val="9"/>
    <w:pPr>
      <w:keepNext/>
      <w:keepLines/>
      <w:ind w:firstLine="641"/>
      <w:outlineLvl w:val="1"/>
    </w:pPr>
    <w:rPr>
      <w:rFonts w:eastAsia="黑体" w:asciiTheme="majorHAnsi" w:hAnsiTheme="majorHAnsi" w:cstheme="majorBidi"/>
      <w:bCs/>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16"/>
    <w:autoRedefine/>
    <w:unhideWhenUsed/>
    <w:qFormat/>
    <w:uiPriority w:val="99"/>
    <w:pPr>
      <w:widowControl w:val="0"/>
      <w:spacing w:line="360" w:lineRule="auto"/>
      <w:ind w:firstLine="480" w:firstLineChars="200"/>
      <w:jc w:val="both"/>
    </w:pPr>
    <w:rPr>
      <w:rFonts w:hint="eastAsia" w:ascii="仿宋_GB2312" w:eastAsia="宋体" w:cs="Times New Roman"/>
      <w:sz w:val="24"/>
      <w:szCs w:val="20"/>
    </w:rPr>
  </w:style>
  <w:style w:type="paragraph" w:styleId="5">
    <w:name w:val="footer"/>
    <w:basedOn w:val="1"/>
    <w:link w:val="13"/>
    <w:autoRedefine/>
    <w:unhideWhenUsed/>
    <w:qFormat/>
    <w:uiPriority w:val="99"/>
    <w:pPr>
      <w:tabs>
        <w:tab w:val="center" w:pos="4153"/>
        <w:tab w:val="right" w:pos="8306"/>
      </w:tabs>
      <w:snapToGrid w:val="0"/>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pPr>
    <w:rPr>
      <w:sz w:val="18"/>
      <w:szCs w:val="18"/>
    </w:rPr>
  </w:style>
  <w:style w:type="paragraph" w:styleId="7">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标题 1 字符"/>
    <w:basedOn w:val="10"/>
    <w:link w:val="2"/>
    <w:autoRedefine/>
    <w:qFormat/>
    <w:uiPriority w:val="9"/>
    <w:rPr>
      <w:rFonts w:eastAsia="方正小标宋简体"/>
      <w:bCs/>
      <w:kern w:val="44"/>
      <w:sz w:val="44"/>
      <w:szCs w:val="44"/>
    </w:rPr>
  </w:style>
  <w:style w:type="character" w:customStyle="1" w:styleId="15">
    <w:name w:val="标题 2 字符"/>
    <w:basedOn w:val="10"/>
    <w:link w:val="3"/>
    <w:autoRedefine/>
    <w:qFormat/>
    <w:uiPriority w:val="9"/>
    <w:rPr>
      <w:rFonts w:eastAsia="黑体" w:asciiTheme="majorHAnsi" w:hAnsiTheme="majorHAnsi" w:cstheme="majorBidi"/>
      <w:bCs/>
      <w:szCs w:val="32"/>
    </w:rPr>
  </w:style>
  <w:style w:type="character" w:customStyle="1" w:styleId="16">
    <w:name w:val="纯文本 字符"/>
    <w:basedOn w:val="10"/>
    <w:link w:val="4"/>
    <w:autoRedefine/>
    <w:qFormat/>
    <w:uiPriority w:val="0"/>
    <w:rPr>
      <w:rFonts w:hint="eastAsia" w:ascii="仿宋_GB2312" w:eastAsia="仿宋_GB2312" w:cs="仿宋_GB2312"/>
      <w:kern w:val="2"/>
      <w:sz w:val="24"/>
    </w:rPr>
  </w:style>
  <w:style w:type="paragraph" w:customStyle="1" w:styleId="17">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1311</Words>
  <Characters>2171</Characters>
  <Lines>9</Lines>
  <Paragraphs>2</Paragraphs>
  <TotalTime>2</TotalTime>
  <ScaleCrop>false</ScaleCrop>
  <LinksUpToDate>false</LinksUpToDate>
  <CharactersWithSpaces>2285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2022-08-26T01:20:00Z</dcterms:created>
  <dc:creator>李昕然</dc:creator>
  <cp:lastModifiedBy>sunmin</cp:lastModifiedBy>
  <cp:lastPrinted>2019-12-03T02:10:00Z</cp:lastPrinted>
  <dcterms:modified xsi:type="dcterms:W3CDTF">2026-03-25T02:18:45Z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030CDACA6E724406A8CD968C809B918C_13</vt:lpwstr>
  </property>
  <property fmtid="{D5CDD505-2E9C-101B-9397-08002B2CF9AE}" pid="4" name="KSOTemplateDocerSaveRecord">
    <vt:lpwstr>eyJoZGlkIjoiYTZhYTRkNDI4NjgzOWU5N2YxM2I1MGVjMTFlYjI2N2UiLCJ1c2VySWQiOiI0NDcxMjg3MTkifQ==</vt:lpwstr>
  </property>
</Properties>
</file>